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132B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РОСТОВСКАЯ ОБЛАСТЬ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КАШАРСКИЙ РАЙОН</w:t>
      </w:r>
    </w:p>
    <w:p w:rsidR="00000000" w:rsidRDefault="00C132B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000000" w:rsidRDefault="00C132B9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«ИНДУСТРИАЛЬНОЕ  СЕЛЬСКОЕ ПОСЕЛЕНИЕ»</w:t>
      </w:r>
    </w:p>
    <w:p w:rsidR="00000000" w:rsidRDefault="00C132B9">
      <w:pPr>
        <w:keepNext/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АДМИНИСТРАЦИЯ ИНДУСТРИАЛЬНОГО СЕЛЬСКОГО ПОСЕЛЕНИЯ</w:t>
      </w:r>
    </w:p>
    <w:p w:rsidR="00000000" w:rsidRDefault="00C132B9">
      <w:pPr>
        <w:keepNext/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b/>
          <w:spacing w:val="24"/>
          <w:sz w:val="28"/>
          <w:szCs w:val="28"/>
        </w:rPr>
      </w:pPr>
    </w:p>
    <w:p w:rsidR="00000000" w:rsidRDefault="00C132B9">
      <w:pPr>
        <w:keepNext/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pacing w:val="24"/>
          <w:sz w:val="28"/>
          <w:szCs w:val="28"/>
        </w:rPr>
      </w:pPr>
      <w:r>
        <w:rPr>
          <w:rFonts w:ascii="Times New Roman" w:hAnsi="Times New Roman"/>
          <w:spacing w:val="24"/>
          <w:sz w:val="28"/>
          <w:szCs w:val="28"/>
        </w:rPr>
        <w:t>ПОСТАНОВЛЕНИЕ</w:t>
      </w:r>
    </w:p>
    <w:p w:rsidR="00000000" w:rsidRDefault="00C132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12.01.2024 </w:t>
      </w:r>
      <w:r>
        <w:rPr>
          <w:rFonts w:ascii="Times New Roman" w:hAnsi="Times New Roman"/>
          <w:sz w:val="28"/>
          <w:szCs w:val="28"/>
        </w:rPr>
        <w:t xml:space="preserve"> г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13.1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п. Индустриальный</w:t>
      </w:r>
    </w:p>
    <w:p w:rsidR="00000000" w:rsidRDefault="00C132B9">
      <w:pPr>
        <w:pStyle w:val="ConsTitle"/>
        <w:tabs>
          <w:tab w:val="left" w:pos="570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6048"/>
        <w:gridCol w:w="3573"/>
      </w:tblGrid>
      <w:tr w:rsidR="00000000">
        <w:tc>
          <w:tcPr>
            <w:tcW w:w="6048" w:type="dxa"/>
          </w:tcPr>
          <w:p w:rsidR="00000000" w:rsidRDefault="00C132B9">
            <w:pPr>
              <w:widowControl w:val="0"/>
              <w:autoSpaceDE w:val="0"/>
              <w:autoSpaceDN w:val="0"/>
              <w:adjustRightInd w:val="0"/>
              <w:spacing w:before="68" w:line="320" w:lineRule="atLeast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</w:t>
            </w:r>
            <w:r>
              <w:rPr>
                <w:rFonts w:ascii="Times New Roman" w:hAnsi="Times New Roman"/>
                <w:sz w:val="28"/>
                <w:szCs w:val="28"/>
              </w:rPr>
              <w:t>нии изменений в Постановление Администрации Индустриального сельского поселения от 27.12.2021 № 55 «О порядке учета бюджетных и денежных обязательств получателей средств бюджета Индустриального сельского поселения Кашарского района»</w:t>
            </w:r>
          </w:p>
        </w:tc>
        <w:tc>
          <w:tcPr>
            <w:tcW w:w="3573" w:type="dxa"/>
          </w:tcPr>
          <w:p w:rsidR="00000000" w:rsidRDefault="00C132B9">
            <w:pPr>
              <w:widowControl w:val="0"/>
              <w:autoSpaceDE w:val="0"/>
              <w:autoSpaceDN w:val="0"/>
              <w:adjustRightInd w:val="0"/>
              <w:spacing w:before="68" w:line="320" w:lineRule="atLeast"/>
              <w:ind w:right="373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C132B9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132B9">
      <w:pPr>
        <w:autoSpaceDE w:val="0"/>
        <w:autoSpaceDN w:val="0"/>
        <w:adjustRightInd w:val="0"/>
        <w:ind w:firstLine="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</w:t>
      </w:r>
      <w:r>
        <w:rPr>
          <w:rFonts w:ascii="Times New Roman" w:hAnsi="Times New Roman"/>
          <w:sz w:val="28"/>
          <w:szCs w:val="28"/>
        </w:rPr>
        <w:t xml:space="preserve">атьями 219  Бюджетного кодекса Российской Федерации, Администрация Индустриального сельского поселения </w:t>
      </w:r>
    </w:p>
    <w:p w:rsidR="00000000" w:rsidRDefault="00C132B9">
      <w:pPr>
        <w:autoSpaceDE w:val="0"/>
        <w:autoSpaceDN w:val="0"/>
        <w:adjustRightInd w:val="0"/>
        <w:ind w:firstLine="8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:rsidR="00000000" w:rsidRDefault="00C132B9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в Приложение к постановлению  Администрации Индустриального сельского поселения от 27.12.2021 № 55 «</w:t>
      </w:r>
      <w:r>
        <w:rPr>
          <w:rFonts w:ascii="Times New Roman" w:hAnsi="Times New Roman" w:cs="Times New Roman"/>
          <w:sz w:val="28"/>
          <w:szCs w:val="28"/>
        </w:rPr>
        <w:t>О порядке учета бю</w:t>
      </w:r>
      <w:r>
        <w:rPr>
          <w:rFonts w:ascii="Times New Roman" w:hAnsi="Times New Roman" w:cs="Times New Roman"/>
          <w:sz w:val="28"/>
          <w:szCs w:val="28"/>
        </w:rPr>
        <w:t>джетных и денежных обязательств получателей средств бюджета Индустриального сельского поселения Кашарского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изложив его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10. При постановке на учет бюджетных обязательств (внесении в них изменений) в соответствии со Сведениями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 о бюджетном обязательстве, сформированными получателем средств местного бюджета, Уполномоченный орган в течение рабочего дня, осуществляет их проверку по следующим направлениям: </w:t>
      </w:r>
    </w:p>
    <w:p w:rsidR="00000000" w:rsidRDefault="00C132B9">
      <w:pPr>
        <w:autoSpaceDE w:val="0"/>
        <w:autoSpaceDN w:val="0"/>
        <w:adjustRightInd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информации о бюджетном обязательстве, указанной в Сведениях о</w:t>
      </w:r>
      <w:r>
        <w:rPr>
          <w:rFonts w:ascii="Times New Roman" w:hAnsi="Times New Roman"/>
          <w:sz w:val="28"/>
          <w:szCs w:val="28"/>
        </w:rPr>
        <w:t xml:space="preserve"> бюджетном обязательстве, документам-основаниям, а также информации, содержащейся в реестре контрактов, для документов – оснований, предусмотренных пунктом 3 графы 2 Перечня;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соответствие информации о бюджетном обязательстве, указанной в Сведениях о бюдж</w:t>
      </w:r>
      <w:r>
        <w:rPr>
          <w:rFonts w:ascii="Times New Roman" w:hAnsi="Times New Roman"/>
          <w:sz w:val="28"/>
          <w:szCs w:val="28"/>
          <w:lang w:eastAsia="ru-RU"/>
        </w:rPr>
        <w:t xml:space="preserve">етном обязательстве, составу информации, подлежащей включению в </w:t>
      </w:r>
      <w:hyperlink w:anchor="P238" w:history="1">
        <w:r>
          <w:rPr>
            <w:rFonts w:ascii="Times New Roman" w:hAnsi="Times New Roman"/>
            <w:sz w:val="28"/>
            <w:szCs w:val="28"/>
            <w:lang w:eastAsia="ru-RU"/>
          </w:rPr>
          <w:t>Сведения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 бюджетном обязательстве в соответствии с приложением № 1 к настоящему Порядку;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непревышение суммы бюджетного обязательства по соответствующим кодам классифик</w:t>
      </w:r>
      <w:r>
        <w:rPr>
          <w:rFonts w:ascii="Times New Roman" w:hAnsi="Times New Roman"/>
          <w:sz w:val="28"/>
          <w:szCs w:val="28"/>
          <w:lang w:eastAsia="ru-RU"/>
        </w:rPr>
        <w:t xml:space="preserve">ации расходов местного бюджета над суммой неиспользованных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бюджетных средств, отдельно для теку</w:t>
      </w:r>
      <w:r>
        <w:rPr>
          <w:rFonts w:ascii="Times New Roman" w:hAnsi="Times New Roman"/>
          <w:sz w:val="28"/>
          <w:szCs w:val="28"/>
          <w:lang w:eastAsia="ru-RU"/>
        </w:rPr>
        <w:t>щего финансового года, для первого и для второго года планового периода;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соответствие предмета бюджетного обязательства, указанного в Сведениях о бюджетном обязательстве, коду вида (кодам видов) расходов классификации расходов местного бюджета, указанном</w:t>
      </w:r>
      <w:r>
        <w:rPr>
          <w:rFonts w:ascii="Times New Roman" w:hAnsi="Times New Roman"/>
          <w:sz w:val="28"/>
          <w:szCs w:val="28"/>
          <w:lang w:eastAsia="ru-RU"/>
        </w:rPr>
        <w:t>у в Сведениях о бюджетном обязательстве. В случае, недостаточности сведений для определения соответствия (либо недопонимание), финансовый орган представляет пояснения в произвольной форме Уполномоченному органу;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наличие лицевого счета участника казначейс</w:t>
      </w:r>
      <w:r>
        <w:rPr>
          <w:rFonts w:ascii="Times New Roman" w:hAnsi="Times New Roman"/>
          <w:sz w:val="28"/>
          <w:szCs w:val="28"/>
          <w:lang w:eastAsia="ru-RU"/>
        </w:rPr>
        <w:t>кого сопровождения, если бюджетным законодательством предусмотрено выполнение данного условия.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формирования Сведений о бюджетном обязательстве Уполномоченным органом при постановке на учет бюджетного обязательства (внесении в него изменений), осущ</w:t>
      </w:r>
      <w:r>
        <w:rPr>
          <w:rFonts w:ascii="Times New Roman" w:hAnsi="Times New Roman"/>
          <w:sz w:val="28"/>
          <w:szCs w:val="28"/>
          <w:lang w:eastAsia="ru-RU"/>
        </w:rPr>
        <w:t xml:space="preserve">ествляется проверка, предусмотренная </w:t>
      </w:r>
      <w:hyperlink w:anchor="P88" w:history="1">
        <w:r>
          <w:rPr>
            <w:rFonts w:ascii="Times New Roman" w:hAnsi="Times New Roman"/>
            <w:sz w:val="28"/>
            <w:szCs w:val="28"/>
            <w:lang w:eastAsia="ru-RU"/>
          </w:rPr>
          <w:t>абзацем четвертым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пункта.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</w:t>
      </w:r>
      <w:r>
        <w:rPr>
          <w:rFonts w:ascii="Times New Roman" w:hAnsi="Times New Roman"/>
          <w:sz w:val="28"/>
          <w:szCs w:val="28"/>
          <w:lang w:eastAsia="ru-RU"/>
        </w:rPr>
        <w:t>о строительства или объекты недвижимого имущества Уполномоченным органом осуществляется проверка, предусмотренная настоящим пунктом по каждому аналитическому коду, используемому Федеральным казначейством в целях санкционирования операций с целевыми расхода</w:t>
      </w:r>
      <w:r>
        <w:rPr>
          <w:rFonts w:ascii="Times New Roman" w:hAnsi="Times New Roman"/>
          <w:sz w:val="28"/>
          <w:szCs w:val="28"/>
          <w:lang w:eastAsia="ru-RU"/>
        </w:rPr>
        <w:t>ми (далее – аналитический код), отраженному на соответствующем лицевом счете получателя средств бюджета.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внесения изменений в поставленное на учет бюджетное обязательство, предусматривающих уменьшение суммы принятого бюджетного обязательства, орга</w:t>
      </w:r>
      <w:r>
        <w:rPr>
          <w:rFonts w:ascii="Times New Roman" w:hAnsi="Times New Roman"/>
          <w:sz w:val="28"/>
          <w:szCs w:val="28"/>
          <w:lang w:eastAsia="ru-RU"/>
        </w:rPr>
        <w:t>н Федерального казначейства осуществляет проверку не превышения суммы исполненного бюджетного обязательства над изменяемой суммой бюджетного обязательства.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аннулирования принимаемого бюджетного обязательства проверка, предусмотренная абзацами втор</w:t>
      </w:r>
      <w:r>
        <w:rPr>
          <w:rFonts w:ascii="Times New Roman" w:hAnsi="Times New Roman"/>
          <w:sz w:val="28"/>
          <w:szCs w:val="28"/>
        </w:rPr>
        <w:t>ым, четвертым, пятым настоящего пункта, не осуществляется.»;</w:t>
      </w:r>
    </w:p>
    <w:p w:rsidR="00000000" w:rsidRDefault="00C132B9">
      <w:pPr>
        <w:pStyle w:val="ConsPlusNormal"/>
        <w:ind w:right="-1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20. Уполномоченный орган в течении рабочего дня осуществляет проверку на соответствие информации, указанной в Сведениях о денежном обязательстве: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информации по соответствующему бюджетному обяз</w:t>
      </w:r>
      <w:r>
        <w:rPr>
          <w:rFonts w:ascii="Times New Roman" w:hAnsi="Times New Roman"/>
          <w:sz w:val="28"/>
          <w:szCs w:val="28"/>
          <w:lang w:eastAsia="ru-RU"/>
        </w:rPr>
        <w:t>ательству, учтенному на соответствующем лицевом счете получателя бюджетных средств;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информации, подлежащей включению в Сведения о денежном обязательстве в соответствии с </w:t>
      </w:r>
      <w:hyperlink w:anchor="P408" w:history="1">
        <w:r>
          <w:rPr>
            <w:rFonts w:ascii="Times New Roman" w:hAnsi="Times New Roman"/>
            <w:sz w:val="28"/>
            <w:szCs w:val="28"/>
            <w:lang w:eastAsia="ru-RU"/>
          </w:rPr>
          <w:t>приложением № 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Порядку, а также отсутствие в пре</w:t>
      </w:r>
      <w:r>
        <w:rPr>
          <w:rFonts w:ascii="Times New Roman" w:hAnsi="Times New Roman"/>
          <w:sz w:val="28"/>
          <w:szCs w:val="28"/>
          <w:lang w:eastAsia="ru-RU"/>
        </w:rPr>
        <w:t>дставленных Сведениях о денежном обязательстве на бумажном носителе исправлений, не соответствующих требованиям, установленным настоящим Порядком или не заверенных в соответствии с настоящим Порядком;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информации по соответствующему документу-основанию, д</w:t>
      </w:r>
      <w:r>
        <w:rPr>
          <w:rFonts w:ascii="Times New Roman" w:hAnsi="Times New Roman"/>
          <w:sz w:val="28"/>
          <w:szCs w:val="28"/>
          <w:lang w:eastAsia="ru-RU"/>
        </w:rPr>
        <w:t>окументу, подтверждающему возникновение денежного обязательства, подлежащим представлению получателями средств местного бюджета в Уполномоченный орган для постановки на учет денежных обязательств в соответствии с настоящим Порядком.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исполнения бюд</w:t>
      </w:r>
      <w:r>
        <w:rPr>
          <w:rFonts w:ascii="Times New Roman" w:hAnsi="Times New Roman"/>
          <w:sz w:val="28"/>
          <w:szCs w:val="28"/>
          <w:lang w:eastAsia="ru-RU"/>
        </w:rPr>
        <w:t>жетного обязательства, содержащего более одного кода классификации расходов бюджетов Российской Федерации, Уполномоченный орган проводит проверку соответствия предмета документа, подтверждающего возникновение денежного обязательства, указанного в Сведениях</w:t>
      </w:r>
      <w:r>
        <w:rPr>
          <w:rFonts w:ascii="Times New Roman" w:hAnsi="Times New Roman"/>
          <w:sz w:val="28"/>
          <w:szCs w:val="28"/>
          <w:lang w:eastAsia="ru-RU"/>
        </w:rPr>
        <w:t xml:space="preserve"> о денежном обязательстве, сформированном с использованием единой информационной системы, и документе, подтверждающем возникновение денежного обязательства, коду вида (кодам видов) расходов классификации расходов бюджетов Российской Федерации. В случае, не</w:t>
      </w:r>
      <w:r>
        <w:rPr>
          <w:rFonts w:ascii="Times New Roman" w:hAnsi="Times New Roman"/>
          <w:sz w:val="28"/>
          <w:szCs w:val="28"/>
          <w:lang w:eastAsia="ru-RU"/>
        </w:rPr>
        <w:t>достаточности сведений для определения соответствия (либо недопонимание), финансовый орган представляет пояснения в произвольной форме Уполномоченному органу.</w:t>
      </w:r>
    </w:p>
    <w:p w:rsidR="00000000" w:rsidRDefault="00C132B9">
      <w:pPr>
        <w:widowControl w:val="0"/>
        <w:autoSpaceDE w:val="0"/>
        <w:autoSpaceDN w:val="0"/>
        <w:spacing w:after="0" w:line="240" w:lineRule="auto"/>
        <w:ind w:right="-1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формировании Сведений о денежном обязательстве с использованием информационных систем Федерал</w:t>
      </w:r>
      <w:r>
        <w:rPr>
          <w:rFonts w:ascii="Times New Roman" w:hAnsi="Times New Roman"/>
          <w:sz w:val="28"/>
          <w:szCs w:val="28"/>
          <w:lang w:eastAsia="ru-RU"/>
        </w:rPr>
        <w:t>ьного казначейства проверки, предусмотренные настоящим пунктом, осуществляются в информационных системах Федерального казначейства, в том числе автоматически.»</w:t>
      </w:r>
    </w:p>
    <w:p w:rsidR="00000000" w:rsidRDefault="00C132B9">
      <w:pPr>
        <w:autoSpaceDE w:val="0"/>
        <w:autoSpaceDN w:val="0"/>
        <w:adjustRightInd w:val="0"/>
        <w:spacing w:after="0" w:line="240" w:lineRule="auto"/>
        <w:ind w:right="-187" w:firstLine="4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приказ вступает с момента подписания и распространяет свое действие на правоотношен</w:t>
      </w:r>
      <w:r>
        <w:rPr>
          <w:rFonts w:ascii="Times New Roman" w:hAnsi="Times New Roman"/>
          <w:sz w:val="28"/>
          <w:szCs w:val="28"/>
        </w:rPr>
        <w:t>ия, возникшие с 01.01.2024.</w:t>
      </w:r>
    </w:p>
    <w:p w:rsidR="00000000" w:rsidRDefault="00C132B9">
      <w:pPr>
        <w:widowControl w:val="0"/>
        <w:shd w:val="clear" w:color="auto" w:fill="FFFFFF"/>
        <w:tabs>
          <w:tab w:val="left" w:pos="24"/>
        </w:tabs>
        <w:autoSpaceDE w:val="0"/>
        <w:autoSpaceDN w:val="0"/>
        <w:adjustRightInd w:val="0"/>
        <w:spacing w:line="317" w:lineRule="exact"/>
        <w:ind w:firstLine="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Контроль  исполнения постановления возложить на начальника сектора экономики и финансов Администрации Индустриального сельского поселения Чупрынину Г.И.</w:t>
      </w:r>
    </w:p>
    <w:p w:rsidR="00000000" w:rsidRDefault="00C132B9">
      <w:pPr>
        <w:autoSpaceDE w:val="0"/>
        <w:autoSpaceDN w:val="0"/>
        <w:adjustRightInd w:val="0"/>
        <w:spacing w:line="240" w:lineRule="auto"/>
        <w:ind w:right="-185" w:firstLine="500"/>
        <w:jc w:val="both"/>
        <w:rPr>
          <w:rFonts w:ascii="Times New Roman" w:hAnsi="Times New Roman"/>
          <w:sz w:val="28"/>
          <w:szCs w:val="28"/>
        </w:rPr>
      </w:pPr>
    </w:p>
    <w:p w:rsidR="00000000" w:rsidRDefault="00C132B9">
      <w:pPr>
        <w:autoSpaceDE w:val="0"/>
        <w:autoSpaceDN w:val="0"/>
        <w:adjustRightInd w:val="0"/>
        <w:spacing w:line="240" w:lineRule="auto"/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0000" w:rsidRDefault="00C132B9">
      <w:pPr>
        <w:autoSpaceDE w:val="0"/>
        <w:autoSpaceDN w:val="0"/>
        <w:adjustRightInd w:val="0"/>
        <w:spacing w:line="240" w:lineRule="auto"/>
        <w:ind w:right="-18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0000" w:rsidRDefault="00C132B9">
      <w:pPr>
        <w:shd w:val="clear" w:color="auto" w:fill="FFFFFF"/>
        <w:spacing w:line="274" w:lineRule="exact"/>
        <w:ind w:right="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Индустриального</w:t>
      </w:r>
    </w:p>
    <w:p w:rsidR="00000000" w:rsidRDefault="00C132B9">
      <w:pPr>
        <w:shd w:val="clear" w:color="auto" w:fill="FFFFFF"/>
        <w:spacing w:line="274" w:lineRule="exact"/>
        <w:ind w:right="14"/>
        <w:rPr>
          <w:rFonts w:ascii="Times New Roman" w:hAnsi="Times New Roman"/>
          <w:sz w:val="28"/>
          <w:szCs w:val="28"/>
          <w:highlight w:val="yellow"/>
          <w:lang w:eastAsia="ru-RU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284" w:left="1134" w:header="284" w:footer="709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Л.С. Варивода</w:t>
      </w:r>
    </w:p>
    <w:p w:rsidR="00000000" w:rsidRDefault="00C132B9">
      <w:pPr>
        <w:autoSpaceDE w:val="0"/>
        <w:autoSpaceDN w:val="0"/>
        <w:adjustRightInd w:val="0"/>
        <w:spacing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000000" w:rsidRDefault="00C132B9">
      <w:pPr>
        <w:spacing w:after="0" w:line="240" w:lineRule="auto"/>
        <w:ind w:right="-185"/>
        <w:jc w:val="center"/>
        <w:rPr>
          <w:rFonts w:ascii="Times New Roman" w:hAnsi="Times New Roman"/>
          <w:sz w:val="28"/>
          <w:szCs w:val="28"/>
        </w:rPr>
      </w:pPr>
    </w:p>
    <w:p w:rsidR="00000000" w:rsidRDefault="00C132B9">
      <w:pPr>
        <w:pStyle w:val="ConsPlusNormal"/>
        <w:widowControl/>
        <w:tabs>
          <w:tab w:val="left" w:pos="8235"/>
        </w:tabs>
        <w:jc w:val="both"/>
      </w:pP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284" w:left="1134" w:header="283" w:footer="8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132B9">
      <w:pPr>
        <w:spacing w:after="0" w:line="240" w:lineRule="auto"/>
      </w:pPr>
      <w:r>
        <w:separator/>
      </w:r>
    </w:p>
  </w:endnote>
  <w:endnote w:type="continuationSeparator" w:id="0">
    <w:p w:rsidR="00000000" w:rsidRDefault="00C1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f4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C132B9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f4"/>
      <w:framePr w:wrap="around" w:vAnchor="text" w:hAnchor="margin" w:xAlign="center" w:y="1"/>
      <w:rPr>
        <w:rStyle w:val="a4"/>
      </w:rPr>
    </w:pPr>
  </w:p>
  <w:p w:rsidR="00000000" w:rsidRDefault="00C132B9">
    <w:pPr>
      <w:pStyle w:val="af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f4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C132B9">
    <w:pPr>
      <w:pStyle w:val="af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f4"/>
      <w:framePr w:wrap="around" w:vAnchor="text" w:hAnchor="margin" w:xAlign="center" w:y="1"/>
      <w:rPr>
        <w:rStyle w:val="a4"/>
      </w:rPr>
    </w:pPr>
  </w:p>
  <w:p w:rsidR="00000000" w:rsidRDefault="00C132B9">
    <w:pPr>
      <w:pStyle w:val="af4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132B9">
      <w:pPr>
        <w:spacing w:after="0" w:line="240" w:lineRule="auto"/>
      </w:pPr>
      <w:r>
        <w:separator/>
      </w:r>
    </w:p>
  </w:footnote>
  <w:footnote w:type="continuationSeparator" w:id="0">
    <w:p w:rsidR="00000000" w:rsidRDefault="00C1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e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e"/>
      <w:jc w:val="center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32B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BEA"/>
    <w:rsid w:val="000C0870"/>
    <w:rsid w:val="00190BF3"/>
    <w:rsid w:val="00235FC0"/>
    <w:rsid w:val="00361C42"/>
    <w:rsid w:val="003725B0"/>
    <w:rsid w:val="00473DE8"/>
    <w:rsid w:val="004A1F3C"/>
    <w:rsid w:val="005C2600"/>
    <w:rsid w:val="0077074B"/>
    <w:rsid w:val="008828B3"/>
    <w:rsid w:val="008B6BEA"/>
    <w:rsid w:val="009A6C26"/>
    <w:rsid w:val="00A127F1"/>
    <w:rsid w:val="00A666A1"/>
    <w:rsid w:val="00A7439A"/>
    <w:rsid w:val="00AF3F05"/>
    <w:rsid w:val="00BA0AB8"/>
    <w:rsid w:val="00C132B9"/>
    <w:rsid w:val="00D644FF"/>
    <w:rsid w:val="00E47994"/>
    <w:rsid w:val="00EC5D96"/>
    <w:rsid w:val="00EC6066"/>
    <w:rsid w:val="00EF0D5A"/>
    <w:rsid w:val="00F96BB9"/>
    <w:rsid w:val="1E75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1AE277-49DB-4E57-A316-6542C8EB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 w:after="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00" w:after="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20">
    <w:name w:val="Заголовок 2 Знак"/>
    <w:basedOn w:val="a0"/>
    <w:link w:val="2"/>
    <w:locked/>
    <w:rPr>
      <w:rFonts w:ascii="Cambria" w:eastAsia="Calibri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30">
    <w:name w:val="Заголовок 3 Знак"/>
    <w:basedOn w:val="a0"/>
    <w:link w:val="3"/>
    <w:locked/>
    <w:rPr>
      <w:rFonts w:ascii="Cambria" w:eastAsia="Calibri" w:hAnsi="Cambria"/>
      <w:b/>
      <w:bCs/>
      <w:color w:val="4F81BD"/>
      <w:sz w:val="22"/>
      <w:szCs w:val="22"/>
      <w:lang w:val="ru-RU" w:eastAsia="en-US" w:bidi="ar-SA"/>
    </w:rPr>
  </w:style>
  <w:style w:type="character" w:customStyle="1" w:styleId="40">
    <w:name w:val="Заголовок 4 Знак"/>
    <w:basedOn w:val="a0"/>
    <w:link w:val="4"/>
    <w:locked/>
    <w:rPr>
      <w:rFonts w:ascii="Cambria" w:eastAsia="Calibri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50">
    <w:name w:val="Заголовок 5 Знак"/>
    <w:basedOn w:val="a0"/>
    <w:link w:val="5"/>
    <w:locked/>
    <w:rPr>
      <w:rFonts w:ascii="Cambria" w:eastAsia="Calibri" w:hAnsi="Cambria"/>
      <w:color w:val="243F60"/>
      <w:sz w:val="22"/>
      <w:szCs w:val="22"/>
      <w:lang w:val="ru-RU" w:eastAsia="en-US" w:bidi="ar-SA"/>
    </w:rPr>
  </w:style>
  <w:style w:type="character" w:customStyle="1" w:styleId="60">
    <w:name w:val="Заголовок 6 Знак"/>
    <w:basedOn w:val="a0"/>
    <w:link w:val="6"/>
    <w:locked/>
    <w:rPr>
      <w:rFonts w:ascii="Cambria" w:eastAsia="Calibri" w:hAnsi="Cambria"/>
      <w:i/>
      <w:iCs/>
      <w:color w:val="243F60"/>
      <w:sz w:val="22"/>
      <w:szCs w:val="22"/>
      <w:lang w:val="ru-RU" w:eastAsia="en-US" w:bidi="ar-SA"/>
    </w:rPr>
  </w:style>
  <w:style w:type="character" w:customStyle="1" w:styleId="70">
    <w:name w:val="Заголовок 7 Знак"/>
    <w:basedOn w:val="a0"/>
    <w:link w:val="7"/>
    <w:locked/>
    <w:rPr>
      <w:rFonts w:ascii="Cambria" w:eastAsia="Calibri" w:hAnsi="Cambria"/>
      <w:i/>
      <w:iCs/>
      <w:color w:val="404040"/>
      <w:sz w:val="22"/>
      <w:szCs w:val="22"/>
      <w:lang w:val="ru-RU" w:eastAsia="en-US" w:bidi="ar-SA"/>
    </w:rPr>
  </w:style>
  <w:style w:type="character" w:customStyle="1" w:styleId="80">
    <w:name w:val="Заголовок 8 Знак"/>
    <w:basedOn w:val="a0"/>
    <w:link w:val="8"/>
    <w:locked/>
    <w:rPr>
      <w:rFonts w:ascii="Cambria" w:eastAsia="Calibri" w:hAnsi="Cambria"/>
      <w:color w:val="404040"/>
      <w:lang w:val="ru-RU" w:eastAsia="en-US" w:bidi="ar-SA"/>
    </w:rPr>
  </w:style>
  <w:style w:type="character" w:customStyle="1" w:styleId="90">
    <w:name w:val="Заголовок 9 Знак"/>
    <w:basedOn w:val="a0"/>
    <w:link w:val="9"/>
    <w:locked/>
    <w:rPr>
      <w:rFonts w:ascii="Cambria" w:eastAsia="Calibri" w:hAnsi="Cambria"/>
      <w:i/>
      <w:iCs/>
      <w:color w:val="404040"/>
      <w:lang w:val="ru-RU" w:eastAsia="en-US" w:bidi="ar-SA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Pr>
      <w:rFonts w:ascii="Tahoma" w:hAnsi="Tahoma" w:cs="Tahoma"/>
      <w:sz w:val="16"/>
      <w:szCs w:val="16"/>
      <w:lang w:val="ru-RU" w:eastAsia="en-US" w:bidi="ar-SA"/>
    </w:rPr>
  </w:style>
  <w:style w:type="paragraph" w:styleId="a8">
    <w:name w:val="annotation text"/>
    <w:basedOn w:val="a"/>
    <w:link w:val="a9"/>
    <w:semiHidden/>
    <w:pPr>
      <w:spacing w:after="16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locked/>
    <w:rPr>
      <w:rFonts w:ascii="Calibri" w:hAnsi="Calibri"/>
      <w:lang w:val="ru-RU" w:eastAsia="en-US" w:bidi="ar-SA"/>
    </w:rPr>
  </w:style>
  <w:style w:type="paragraph" w:styleId="aa">
    <w:name w:val="annotation subject"/>
    <w:basedOn w:val="a8"/>
    <w:next w:val="a8"/>
    <w:link w:val="ab"/>
    <w:semiHidden/>
    <w:pPr>
      <w:spacing w:after="200" w:line="276" w:lineRule="auto"/>
    </w:pPr>
    <w:rPr>
      <w:b/>
      <w:bCs/>
    </w:rPr>
  </w:style>
  <w:style w:type="character" w:customStyle="1" w:styleId="ab">
    <w:name w:val="Тема примечания Знак"/>
    <w:basedOn w:val="a9"/>
    <w:link w:val="aa"/>
    <w:semiHidden/>
    <w:locked/>
    <w:rPr>
      <w:rFonts w:ascii="Calibri" w:hAnsi="Calibri"/>
      <w:b/>
      <w:bCs/>
      <w:lang w:val="ru-RU" w:eastAsia="en-US" w:bidi="ar-SA"/>
    </w:rPr>
  </w:style>
  <w:style w:type="paragraph" w:styleId="ac">
    <w:name w:val="footnote text"/>
    <w:basedOn w:val="a"/>
    <w:link w:val="ad"/>
    <w:semiHidden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locked/>
    <w:rPr>
      <w:rFonts w:ascii="Calibri" w:hAnsi="Calibri"/>
      <w:lang w:val="ru-RU" w:eastAsia="en-US" w:bidi="ar-SA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locked/>
    <w:rPr>
      <w:rFonts w:ascii="Calibri" w:hAnsi="Calibri"/>
      <w:sz w:val="22"/>
      <w:szCs w:val="22"/>
      <w:lang w:val="ru-RU" w:eastAsia="en-US" w:bidi="ar-SA"/>
    </w:rPr>
  </w:style>
  <w:style w:type="paragraph" w:styleId="af0">
    <w:name w:val="Body Text"/>
    <w:basedOn w:val="a"/>
    <w:link w:val="af1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locked/>
    <w:rPr>
      <w:rFonts w:eastAsia="Calibri"/>
      <w:sz w:val="28"/>
      <w:lang w:val="ru-RU" w:eastAsia="ru-RU" w:bidi="ar-SA"/>
    </w:rPr>
  </w:style>
  <w:style w:type="paragraph" w:styleId="af2">
    <w:name w:val="Title"/>
    <w:basedOn w:val="a"/>
    <w:next w:val="a"/>
    <w:link w:val="af3"/>
    <w:qFormat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locked/>
    <w:rPr>
      <w:rFonts w:ascii="Cambria" w:eastAsia="Calibri" w:hAnsi="Cambria"/>
      <w:color w:val="17365D"/>
      <w:spacing w:val="5"/>
      <w:kern w:val="28"/>
      <w:sz w:val="52"/>
      <w:szCs w:val="52"/>
      <w:lang w:val="ru-RU" w:eastAsia="en-US" w:bidi="ar-SA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locked/>
    <w:rPr>
      <w:rFonts w:ascii="Calibri" w:hAnsi="Calibri"/>
      <w:sz w:val="22"/>
      <w:szCs w:val="22"/>
      <w:lang w:val="ru-RU" w:eastAsia="en-US" w:bidi="ar-SA"/>
    </w:rPr>
  </w:style>
  <w:style w:type="paragraph" w:styleId="af6">
    <w:name w:val="Subtitle"/>
    <w:basedOn w:val="a"/>
    <w:next w:val="a"/>
    <w:link w:val="af7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locked/>
    <w:rPr>
      <w:rFonts w:ascii="Cambria" w:eastAsia="Calibri" w:hAnsi="Cambria"/>
      <w:i/>
      <w:iCs/>
      <w:color w:val="4F81BD"/>
      <w:spacing w:val="15"/>
      <w:sz w:val="24"/>
      <w:szCs w:val="24"/>
      <w:lang w:val="ru-RU" w:eastAsia="en-US" w:bidi="ar-SA"/>
    </w:rPr>
  </w:style>
  <w:style w:type="table" w:styleId="af8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1">
    <w:name w:val="Без интервала1"/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NoSpacing">
    <w:name w:val="No Spacing"/>
    <w:rPr>
      <w:rFonts w:ascii="Calibri" w:hAnsi="Calibri"/>
      <w:sz w:val="22"/>
      <w:szCs w:val="22"/>
      <w:lang w:eastAsia="en-US"/>
    </w:rPr>
  </w:style>
  <w:style w:type="character" w:customStyle="1" w:styleId="SubtleEmphasis">
    <w:name w:val="Subtle Emphasis"/>
    <w:rPr>
      <w:i/>
      <w:color w:val="808080"/>
    </w:rPr>
  </w:style>
  <w:style w:type="paragraph" w:customStyle="1" w:styleId="Quote">
    <w:name w:val="Quote"/>
    <w:basedOn w:val="a"/>
    <w:next w:val="a"/>
    <w:link w:val="QuoteChar"/>
    <w:rPr>
      <w:i/>
      <w:iCs/>
      <w:color w:val="000000"/>
    </w:rPr>
  </w:style>
  <w:style w:type="character" w:customStyle="1" w:styleId="QuoteChar">
    <w:name w:val="Quote Char"/>
    <w:basedOn w:val="a0"/>
    <w:link w:val="Quote"/>
    <w:locked/>
    <w:rPr>
      <w:rFonts w:ascii="Calibri" w:hAnsi="Calibri"/>
      <w:i/>
      <w:iCs/>
      <w:color w:val="000000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9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2024-01-25T10:52:00Z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9A8C8D008CB1412E982BE66934FB1FE9_13</vt:lpwstr>
  </property>
</Properties>
</file>