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F25F16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КАШАРСКИЙ </w:t>
      </w:r>
      <w:r w:rsidR="00600E7D">
        <w:rPr>
          <w:color w:val="000000"/>
          <w:szCs w:val="28"/>
        </w:rPr>
        <w:t xml:space="preserve"> 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«</w:t>
      </w:r>
      <w:r w:rsidR="00F25F16">
        <w:rPr>
          <w:color w:val="000000"/>
          <w:szCs w:val="28"/>
        </w:rPr>
        <w:t xml:space="preserve">ИНДУСТРИАЛЬНОЕ </w:t>
      </w:r>
      <w:r>
        <w:rPr>
          <w:color w:val="000000"/>
          <w:szCs w:val="28"/>
        </w:rPr>
        <w:t>СЕЛЬСКОЕ ПОСЕЛЕНИЕ</w:t>
      </w:r>
      <w:r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F25F16">
        <w:rPr>
          <w:color w:val="000000"/>
          <w:szCs w:val="28"/>
        </w:rPr>
        <w:t>ИНДУСТРИАЛЬНОГО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420"/>
        <w:gridCol w:w="2654"/>
        <w:gridCol w:w="4186"/>
      </w:tblGrid>
      <w:tr w:rsidR="00600E7D" w:rsidRPr="007932D6" w:rsidTr="00052A14">
        <w:tc>
          <w:tcPr>
            <w:tcW w:w="3420" w:type="dxa"/>
          </w:tcPr>
          <w:p w:rsidR="00600E7D" w:rsidRPr="007932D6" w:rsidRDefault="00F268A9" w:rsidP="001D578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27.12</w:t>
            </w:r>
            <w:r w:rsidR="00600E7D" w:rsidRPr="007932D6">
              <w:rPr>
                <w:color w:val="000000"/>
                <w:sz w:val="28"/>
                <w:szCs w:val="28"/>
              </w:rPr>
              <w:t>.</w:t>
            </w:r>
            <w:r w:rsidR="001D578C">
              <w:rPr>
                <w:color w:val="000000"/>
                <w:sz w:val="28"/>
                <w:szCs w:val="28"/>
              </w:rPr>
              <w:t>202</w:t>
            </w:r>
            <w:r w:rsidR="00B568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54" w:type="dxa"/>
          </w:tcPr>
          <w:p w:rsidR="00600E7D" w:rsidRPr="007932D6" w:rsidRDefault="00600E7D" w:rsidP="001D578C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F268A9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186" w:type="dxa"/>
          </w:tcPr>
          <w:p w:rsidR="00600E7D" w:rsidRPr="007932D6" w:rsidRDefault="00F25F16" w:rsidP="00052A1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п.Индустриальный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1D578C">
      <w:pPr>
        <w:widowControl w:val="0"/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Об утверждении Порядка сообщения</w:t>
      </w:r>
      <w:r w:rsidR="00F25F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председателем Собрания депутатов – главой</w:t>
      </w:r>
      <w:r w:rsidR="00F25F16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>сельского поселения, депутатами</w:t>
      </w:r>
      <w:r w:rsidR="00F25F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Собрания депутатов </w:t>
      </w:r>
      <w:r w:rsidR="00F25F16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="00CC23BE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о возникновении личной заинтересованности</w:t>
      </w:r>
      <w:r w:rsidR="00CC23BE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 исполнении должностных обязанностей, которая</w:t>
      </w:r>
      <w:r w:rsidR="00CC23BE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F25F16">
        <w:rPr>
          <w:color w:val="000000"/>
          <w:sz w:val="28"/>
          <w:szCs w:val="28"/>
        </w:rPr>
        <w:t xml:space="preserve">Индустриального </w:t>
      </w:r>
      <w:r w:rsidR="00C85DB4">
        <w:rPr>
          <w:color w:val="000000"/>
          <w:sz w:val="28"/>
          <w:szCs w:val="28"/>
        </w:rPr>
        <w:t xml:space="preserve">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F25F16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поселения, депутатами Собрания депутатов </w:t>
      </w:r>
      <w:r w:rsidR="00F25F16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4643"/>
        <w:gridCol w:w="5813"/>
      </w:tblGrid>
      <w:tr w:rsidR="00600E7D" w:rsidRPr="00DC6017" w:rsidTr="00052A14">
        <w:tc>
          <w:tcPr>
            <w:tcW w:w="4643" w:type="dxa"/>
            <w:hideMark/>
          </w:tcPr>
          <w:p w:rsidR="00600E7D" w:rsidRPr="00DC6017" w:rsidRDefault="00600E7D" w:rsidP="00F25F16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F25F16">
              <w:rPr>
                <w:color w:val="000000"/>
              </w:rPr>
              <w:t xml:space="preserve">Индустриального 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  <w:r w:rsidR="00F25F16">
              <w:rPr>
                <w:color w:val="00000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813" w:type="dxa"/>
          </w:tcPr>
          <w:p w:rsidR="00600E7D" w:rsidRPr="00DC6017" w:rsidRDefault="00F25F16" w:rsidP="00F25F16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И.И.Лысенко</w:t>
            </w:r>
          </w:p>
        </w:tc>
      </w:tr>
    </w:tbl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F25F16">
        <w:rPr>
          <w:color w:val="000000"/>
        </w:rPr>
        <w:t xml:space="preserve">Индустриального 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F268A9">
        <w:rPr>
          <w:color w:val="000000"/>
        </w:rPr>
        <w:t>27.12</w:t>
      </w:r>
      <w:r>
        <w:rPr>
          <w:color w:val="000000"/>
        </w:rPr>
        <w:t>.</w:t>
      </w:r>
      <w:r w:rsidR="00B56888">
        <w:rPr>
          <w:color w:val="000000"/>
        </w:rPr>
        <w:t>2023</w:t>
      </w:r>
      <w:r>
        <w:rPr>
          <w:color w:val="000000"/>
        </w:rPr>
        <w:t xml:space="preserve"> № </w:t>
      </w:r>
      <w:r w:rsidR="00F268A9">
        <w:rPr>
          <w:color w:val="000000"/>
        </w:rPr>
        <w:t>85</w:t>
      </w:r>
    </w:p>
    <w:p w:rsidR="00600E7D" w:rsidRPr="007932D6" w:rsidRDefault="00600E7D" w:rsidP="00F268A9">
      <w:pPr>
        <w:pStyle w:val="ConsPlusNormal"/>
        <w:jc w:val="center"/>
        <w:rPr>
          <w:color w:val="000000"/>
        </w:rPr>
      </w:pPr>
    </w:p>
    <w:bookmarkStart w:id="0" w:name="Par23"/>
    <w:bookmarkEnd w:id="0"/>
    <w:p w:rsidR="00600E7D" w:rsidRPr="007932D6" w:rsidRDefault="00656F7F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600E7D"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="00600E7D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</w:t>
      </w:r>
      <w:r w:rsidR="00F25F16">
        <w:rPr>
          <w:color w:val="000000"/>
        </w:rPr>
        <w:t xml:space="preserve">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F25F1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="00F25F1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F25F16">
        <w:rPr>
          <w:color w:val="000000"/>
        </w:rPr>
        <w:t xml:space="preserve">Индустриального </w:t>
      </w:r>
      <w:r w:rsidR="00EF18B1">
        <w:rPr>
          <w:color w:val="000000"/>
        </w:rPr>
        <w:t xml:space="preserve">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5C0489">
        <w:br/>
      </w:r>
      <w:r w:rsidR="00600E7D">
        <w:t>по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lastRenderedPageBreak/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>выдается лицам, указанным в пункте 1 настоящего Порядка,</w:t>
      </w:r>
      <w:r w:rsidR="005C0489">
        <w:br/>
      </w:r>
      <w:r w:rsidR="00600E7D">
        <w:t>под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574CFF">
        <w:rPr>
          <w:rStyle w:val="af"/>
          <w:color w:val="000000"/>
        </w:rPr>
        <w:footnoteReference w:id="2"/>
      </w:r>
      <w:r w:rsidR="00D16E65">
        <w:rPr>
          <w:color w:val="000000"/>
        </w:rPr>
        <w:t xml:space="preserve">Собрания депутатов </w:t>
      </w:r>
      <w:r w:rsidR="00F25F16">
        <w:rPr>
          <w:color w:val="000000"/>
        </w:rPr>
        <w:t xml:space="preserve">Индустриального </w:t>
      </w:r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 w:rsidR="005C0489">
        <w:br/>
      </w:r>
      <w:r>
        <w:t>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F25F16">
        <w:t xml:space="preserve">Индустриального </w:t>
      </w:r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</w:t>
      </w:r>
      <w:r w:rsidR="005C0489">
        <w:br/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C0489">
        <w:br/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F25F16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Индустриального </w:t>
      </w:r>
      <w:r w:rsidR="00EF18B1">
        <w:rPr>
          <w:color w:val="000000"/>
        </w:rPr>
        <w:t xml:space="preserve">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1" w:name="Par67"/>
      <w:bookmarkEnd w:id="1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f"/>
          <w:color w:val="000000"/>
          <w:sz w:val="20"/>
          <w:szCs w:val="20"/>
        </w:rPr>
        <w:footnoteReference w:id="3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052A14">
          <w:footerReference w:type="even" r:id="rId7"/>
          <w:footerReference w:type="default" r:id="rId8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2</w:t>
      </w: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</w:t>
      </w:r>
      <w:r w:rsidR="00C242B5">
        <w:rPr>
          <w:color w:val="000000"/>
        </w:rPr>
        <w:br/>
      </w:r>
      <w:r w:rsidR="000178B6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052A1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B4" w:rsidRDefault="00050CB4">
      <w:r>
        <w:separator/>
      </w:r>
    </w:p>
  </w:endnote>
  <w:endnote w:type="continuationSeparator" w:id="1">
    <w:p w:rsidR="00050CB4" w:rsidRDefault="0005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656F7F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Pr="00D16E65" w:rsidRDefault="00656F7F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="000178B6"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B56888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B4" w:rsidRDefault="00050CB4">
      <w:r>
        <w:separator/>
      </w:r>
    </w:p>
  </w:footnote>
  <w:footnote w:type="continuationSeparator" w:id="1">
    <w:p w:rsidR="00050CB4" w:rsidRDefault="00050CB4">
      <w:r>
        <w:continuationSeparator/>
      </w:r>
    </w:p>
  </w:footnote>
  <w:footnote w:id="2">
    <w:p w:rsidR="00574CFF" w:rsidRDefault="00574CFF">
      <w:pPr>
        <w:pStyle w:val="ad"/>
      </w:pPr>
      <w:r>
        <w:rPr>
          <w:rStyle w:val="af"/>
        </w:rPr>
        <w:footnoteRef/>
      </w:r>
      <w:r>
        <w:t xml:space="preserve"> Необходимо указать наименование постоянной комиссии представительного органа муниципального образования, например: «комиссия по мандатным вопросам и депутатской этике» или «комиссия по местному самоурпавлению».</w:t>
      </w:r>
    </w:p>
  </w:footnote>
  <w:footnote w:id="3">
    <w:p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78B6"/>
    <w:rsid w:val="000326CD"/>
    <w:rsid w:val="00050CB4"/>
    <w:rsid w:val="00052A14"/>
    <w:rsid w:val="000E4228"/>
    <w:rsid w:val="00130C27"/>
    <w:rsid w:val="001D578C"/>
    <w:rsid w:val="001E4863"/>
    <w:rsid w:val="002370FB"/>
    <w:rsid w:val="00266427"/>
    <w:rsid w:val="002837D2"/>
    <w:rsid w:val="00314CAC"/>
    <w:rsid w:val="00354F95"/>
    <w:rsid w:val="004003BB"/>
    <w:rsid w:val="004142E3"/>
    <w:rsid w:val="004C4352"/>
    <w:rsid w:val="004E202E"/>
    <w:rsid w:val="004E57EA"/>
    <w:rsid w:val="004E6B32"/>
    <w:rsid w:val="004E7BA6"/>
    <w:rsid w:val="004F1B53"/>
    <w:rsid w:val="00574CFF"/>
    <w:rsid w:val="0057630C"/>
    <w:rsid w:val="00593D9E"/>
    <w:rsid w:val="005C0489"/>
    <w:rsid w:val="00600E7D"/>
    <w:rsid w:val="00602DF1"/>
    <w:rsid w:val="00606388"/>
    <w:rsid w:val="00606538"/>
    <w:rsid w:val="0062003C"/>
    <w:rsid w:val="00656F7F"/>
    <w:rsid w:val="0066640F"/>
    <w:rsid w:val="00693FB9"/>
    <w:rsid w:val="006A6BEF"/>
    <w:rsid w:val="0074307F"/>
    <w:rsid w:val="007F04DE"/>
    <w:rsid w:val="008E49F5"/>
    <w:rsid w:val="0091404F"/>
    <w:rsid w:val="0094218E"/>
    <w:rsid w:val="009C17F5"/>
    <w:rsid w:val="00B30F7D"/>
    <w:rsid w:val="00B56888"/>
    <w:rsid w:val="00BC7872"/>
    <w:rsid w:val="00C1417C"/>
    <w:rsid w:val="00C242B5"/>
    <w:rsid w:val="00C85DB4"/>
    <w:rsid w:val="00CC23BE"/>
    <w:rsid w:val="00D16E65"/>
    <w:rsid w:val="00D92656"/>
    <w:rsid w:val="00EF18B1"/>
    <w:rsid w:val="00EF5E62"/>
    <w:rsid w:val="00EF7A8B"/>
    <w:rsid w:val="00F25F16"/>
    <w:rsid w:val="00F268A9"/>
    <w:rsid w:val="00F924F8"/>
    <w:rsid w:val="00FA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AB94-979C-4B6C-8ECB-EA59B9D3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Admin</cp:lastModifiedBy>
  <cp:revision>3</cp:revision>
  <cp:lastPrinted>2016-07-01T08:05:00Z</cp:lastPrinted>
  <dcterms:created xsi:type="dcterms:W3CDTF">2024-01-19T23:33:00Z</dcterms:created>
  <dcterms:modified xsi:type="dcterms:W3CDTF">2024-01-21T10:07:00Z</dcterms:modified>
</cp:coreProperties>
</file>